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AA02BB">
              <w:rPr>
                <w:rFonts w:ascii="Tahoma" w:hAnsi="Tahoma" w:cs="Tahoma"/>
                <w:color w:val="FF0000"/>
                <w:sz w:val="28"/>
                <w:szCs w:val="28"/>
              </w:rPr>
              <w:t xml:space="preserve">Case records of the </w:t>
            </w:r>
            <w:r w:rsidR="00AA7CD3">
              <w:rPr>
                <w:rFonts w:ascii="Tahoma" w:hAnsi="Tahoma" w:cs="Tahoma"/>
                <w:color w:val="FF0000"/>
                <w:sz w:val="28"/>
                <w:szCs w:val="28"/>
              </w:rPr>
              <w:t>JANAAN HEALTH</w:t>
            </w:r>
          </w:p>
          <w:p w:rsidR="000F15CA" w:rsidRDefault="000F15CA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>A patient based learning methods</w:t>
            </w:r>
          </w:p>
          <w:p w:rsidR="00AB6AC4" w:rsidRDefault="00F52EFB">
            <w:pPr>
              <w:rPr>
                <w:rFonts w:ascii="Tahoma" w:hAnsi="Tahoma" w:cs="Tahoma"/>
                <w:color w:val="FF0000"/>
                <w:sz w:val="28"/>
                <w:szCs w:val="28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</w:rPr>
              <w:t xml:space="preserve">With </w:t>
            </w:r>
            <w:r w:rsidR="00AB6AC4">
              <w:rPr>
                <w:rFonts w:ascii="Tahoma" w:hAnsi="Tahoma" w:cs="Tahoma"/>
                <w:color w:val="FF0000"/>
                <w:sz w:val="28"/>
                <w:szCs w:val="28"/>
              </w:rPr>
              <w:t xml:space="preserve">further </w:t>
            </w:r>
            <w:r>
              <w:rPr>
                <w:rFonts w:ascii="Tahoma" w:hAnsi="Tahoma" w:cs="Tahoma"/>
                <w:color w:val="FF0000"/>
                <w:sz w:val="28"/>
                <w:szCs w:val="28"/>
              </w:rPr>
              <w:t>references</w:t>
            </w:r>
            <w:r w:rsidR="00AB6AC4">
              <w:rPr>
                <w:rFonts w:ascii="Tahoma" w:hAnsi="Tahoma" w:cs="Tahoma"/>
                <w:color w:val="FF0000"/>
                <w:sz w:val="28"/>
                <w:szCs w:val="28"/>
              </w:rPr>
              <w:t xml:space="preserve"> and reading links</w:t>
            </w:r>
            <w:r w:rsidR="003129C0">
              <w:rPr>
                <w:rFonts w:ascii="Tahoma" w:hAnsi="Tahoma" w:cs="Tahoma"/>
                <w:color w:val="FF0000"/>
                <w:sz w:val="28"/>
                <w:szCs w:val="28"/>
              </w:rPr>
              <w:t>.</w:t>
            </w:r>
          </w:p>
          <w:p w:rsidR="00651886" w:rsidRPr="00F8721E" w:rsidRDefault="00651886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F8721E" w:rsidTr="00F8721E">
        <w:tc>
          <w:tcPr>
            <w:tcW w:w="9242" w:type="dxa"/>
          </w:tcPr>
          <w:p w:rsidR="00F8721E" w:rsidRPr="00F8721E" w:rsidRDefault="00F8721E" w:rsidP="00B40E20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t>Date of the case:</w:t>
            </w:r>
            <w:r w:rsidR="00B64FC9">
              <w:rPr>
                <w:rFonts w:ascii="Tahoma" w:hAnsi="Tahoma" w:cs="Tahoma"/>
                <w:sz w:val="24"/>
                <w:szCs w:val="24"/>
              </w:rPr>
              <w:t>12/12/2016</w:t>
            </w:r>
          </w:p>
        </w:tc>
      </w:tr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t>Case presentation</w:t>
            </w:r>
            <w:r w:rsidR="00B64FC9">
              <w:rPr>
                <w:rFonts w:ascii="Tahoma" w:hAnsi="Tahoma" w:cs="Tahoma"/>
                <w:sz w:val="24"/>
                <w:szCs w:val="24"/>
              </w:rPr>
              <w:t>:</w:t>
            </w:r>
          </w:p>
          <w:p w:rsidR="00CA0962" w:rsidRDefault="00CA096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64FC9" w:rsidRPr="00B64FC9" w:rsidRDefault="00B64FC9" w:rsidP="00B64FC9">
            <w:pPr>
              <w:rPr>
                <w:rFonts w:ascii="Arial" w:hAnsi="Arial" w:cs="Arial"/>
                <w:sz w:val="24"/>
                <w:szCs w:val="24"/>
              </w:rPr>
            </w:pPr>
            <w:r w:rsidRPr="00B64FC9">
              <w:rPr>
                <w:rFonts w:ascii="Arial" w:hAnsi="Arial" w:cs="Arial"/>
                <w:sz w:val="24"/>
                <w:szCs w:val="24"/>
              </w:rPr>
              <w:t xml:space="preserve">A 70 years old gentleman was </w:t>
            </w:r>
            <w:r>
              <w:rPr>
                <w:rFonts w:ascii="Arial" w:hAnsi="Arial" w:cs="Arial"/>
                <w:sz w:val="24"/>
                <w:szCs w:val="24"/>
                <w:lang w:eastAsia="x-none"/>
              </w:rPr>
              <w:t>r</w:t>
            </w:r>
            <w:r w:rsidRPr="00B64FC9">
              <w:rPr>
                <w:rFonts w:ascii="Arial" w:hAnsi="Arial" w:cs="Arial"/>
                <w:sz w:val="24"/>
                <w:szCs w:val="24"/>
                <w:lang w:eastAsia="x-none"/>
              </w:rPr>
              <w:t xml:space="preserve">eferred by spinal surgeons to exclude lymphoma and/or myeloma having found abnormal MRI signal and small volume </w:t>
            </w:r>
            <w:proofErr w:type="spellStart"/>
            <w:r w:rsidRPr="00B64FC9">
              <w:rPr>
                <w:rFonts w:ascii="Arial" w:hAnsi="Arial" w:cs="Arial"/>
                <w:sz w:val="24"/>
                <w:szCs w:val="24"/>
                <w:lang w:eastAsia="x-none"/>
              </w:rPr>
              <w:t>mediastinal</w:t>
            </w:r>
            <w:proofErr w:type="spellEnd"/>
            <w:r w:rsidRPr="00B64FC9">
              <w:rPr>
                <w:rFonts w:ascii="Arial" w:hAnsi="Arial" w:cs="Arial"/>
                <w:sz w:val="24"/>
                <w:szCs w:val="24"/>
                <w:lang w:eastAsia="x-none"/>
              </w:rPr>
              <w:t xml:space="preserve"> lymph node on CT scan.</w:t>
            </w:r>
          </w:p>
          <w:p w:rsidR="00B64FC9" w:rsidRDefault="00B64FC9" w:rsidP="00B64FC9">
            <w:pPr>
              <w:pStyle w:val="Normal0"/>
              <w:rPr>
                <w:b/>
                <w:bCs/>
                <w:lang w:val="en-GB"/>
              </w:rPr>
            </w:pPr>
            <w:r>
              <w:rPr>
                <w:lang w:val="en-GB"/>
              </w:rPr>
              <w:t>He has p</w:t>
            </w:r>
            <w:r w:rsidRPr="00B64FC9">
              <w:rPr>
                <w:lang w:val="en-GB"/>
              </w:rPr>
              <w:t xml:space="preserve">ersistent </w:t>
            </w:r>
            <w:proofErr w:type="spellStart"/>
            <w:r w:rsidRPr="00B64FC9">
              <w:rPr>
                <w:lang w:val="en-GB"/>
              </w:rPr>
              <w:t>hypercalcemia</w:t>
            </w:r>
            <w:proofErr w:type="spellEnd"/>
            <w:r w:rsidRPr="00B64FC9">
              <w:rPr>
                <w:lang w:val="en-GB"/>
              </w:rPr>
              <w:t xml:space="preserve"> since </w:t>
            </w:r>
            <w:r>
              <w:rPr>
                <w:lang w:val="en-GB"/>
              </w:rPr>
              <w:t xml:space="preserve"> A</w:t>
            </w:r>
            <w:r w:rsidRPr="00B64FC9">
              <w:rPr>
                <w:lang w:val="en-GB"/>
              </w:rPr>
              <w:t xml:space="preserve">ugust 2016 , </w:t>
            </w:r>
            <w:r w:rsidRPr="00B64FC9">
              <w:rPr>
                <w:b/>
                <w:bCs/>
                <w:lang w:val="en-GB"/>
              </w:rPr>
              <w:t>Calcium 3.18,</w:t>
            </w:r>
            <w:r w:rsidRPr="00B64FC9">
              <w:rPr>
                <w:lang w:val="en-GB"/>
              </w:rPr>
              <w:t xml:space="preserve"> low </w:t>
            </w:r>
            <w:r w:rsidRPr="00B64FC9">
              <w:rPr>
                <w:b/>
                <w:bCs/>
                <w:lang w:val="en-GB"/>
              </w:rPr>
              <w:t>PTH 0.56</w:t>
            </w:r>
          </w:p>
          <w:p w:rsidR="006C3FC0" w:rsidRPr="00B64FC9" w:rsidRDefault="006C3FC0" w:rsidP="00B64FC9">
            <w:pPr>
              <w:pStyle w:val="Normal0"/>
              <w:rPr>
                <w:lang w:val="en-GB"/>
              </w:rPr>
            </w:pPr>
            <w:r>
              <w:rPr>
                <w:b/>
                <w:bCs/>
                <w:lang w:val="en-GB"/>
              </w:rPr>
              <w:t xml:space="preserve">He was reviewed in haematology clinic and underwent several investigation includes </w:t>
            </w:r>
            <w:r w:rsidR="00CA0962">
              <w:rPr>
                <w:b/>
                <w:bCs/>
                <w:lang w:val="en-GB"/>
              </w:rPr>
              <w:t>:</w:t>
            </w:r>
          </w:p>
          <w:p w:rsidR="00B64FC9" w:rsidRPr="00B64FC9" w:rsidRDefault="00B64FC9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 xml:space="preserve">In </w:t>
            </w:r>
            <w:r w:rsidRPr="00B64FC9">
              <w:rPr>
                <w:lang w:val="en-GB"/>
              </w:rPr>
              <w:t>Sept 2016</w:t>
            </w:r>
            <w:r>
              <w:rPr>
                <w:lang w:val="en-GB"/>
              </w:rPr>
              <w:t xml:space="preserve"> he underwent</w:t>
            </w:r>
            <w:r w:rsidRPr="00B64FC9">
              <w:rPr>
                <w:lang w:val="en-GB"/>
              </w:rPr>
              <w:t xml:space="preserve"> Bon</w:t>
            </w:r>
            <w:r w:rsidR="006C3FC0">
              <w:rPr>
                <w:lang w:val="en-GB"/>
              </w:rPr>
              <w:t>e marrow aspirate and trephine, showed no infiltrations X2</w:t>
            </w:r>
          </w:p>
          <w:p w:rsidR="00B64FC9" w:rsidRPr="00B64FC9" w:rsidRDefault="00B64FC9" w:rsidP="00B64FC9">
            <w:pPr>
              <w:pStyle w:val="Normal0"/>
              <w:rPr>
                <w:lang w:val="en-GB"/>
              </w:rPr>
            </w:pPr>
            <w:r w:rsidRPr="00B64FC9">
              <w:rPr>
                <w:lang w:val="en-GB"/>
              </w:rPr>
              <w:t xml:space="preserve">Normal </w:t>
            </w:r>
            <w:proofErr w:type="spellStart"/>
            <w:r w:rsidRPr="00B64FC9">
              <w:rPr>
                <w:lang w:val="en-GB"/>
              </w:rPr>
              <w:t>immunoglobulins</w:t>
            </w:r>
            <w:proofErr w:type="spellEnd"/>
            <w:r w:rsidRPr="00B64FC9">
              <w:rPr>
                <w:lang w:val="en-GB"/>
              </w:rPr>
              <w:t>, no monoclonal band and normal SFLC.</w:t>
            </w:r>
          </w:p>
          <w:p w:rsidR="00B64FC9" w:rsidRPr="00B64FC9" w:rsidRDefault="00B64FC9" w:rsidP="00B64FC9">
            <w:pPr>
              <w:pStyle w:val="Normal0"/>
              <w:rPr>
                <w:lang w:val="en-GB"/>
              </w:rPr>
            </w:pPr>
            <w:r w:rsidRPr="00B64FC9">
              <w:rPr>
                <w:lang w:val="en-GB"/>
              </w:rPr>
              <w:t xml:space="preserve">Mildly anaemic with HB110, </w:t>
            </w:r>
            <w:proofErr w:type="spellStart"/>
            <w:r w:rsidRPr="00B64FC9">
              <w:rPr>
                <w:lang w:val="en-GB"/>
              </w:rPr>
              <w:t>Alk</w:t>
            </w:r>
            <w:proofErr w:type="spellEnd"/>
            <w:r w:rsidRPr="00B64FC9">
              <w:rPr>
                <w:lang w:val="en-GB"/>
              </w:rPr>
              <w:t xml:space="preserve"> </w:t>
            </w:r>
            <w:proofErr w:type="spellStart"/>
            <w:r w:rsidRPr="00B64FC9">
              <w:rPr>
                <w:lang w:val="en-GB"/>
              </w:rPr>
              <w:t>Phos</w:t>
            </w:r>
            <w:proofErr w:type="spellEnd"/>
            <w:r w:rsidRPr="00B64FC9">
              <w:rPr>
                <w:lang w:val="en-GB"/>
              </w:rPr>
              <w:t xml:space="preserve">  344  PSA normal  ACE normal</w:t>
            </w:r>
          </w:p>
          <w:p w:rsidR="00B64FC9" w:rsidRDefault="00B64FC9" w:rsidP="00B64FC9">
            <w:pPr>
              <w:pStyle w:val="Normal0"/>
              <w:rPr>
                <w:lang w:val="en-GB"/>
              </w:rPr>
            </w:pPr>
            <w:r w:rsidRPr="00B64FC9">
              <w:rPr>
                <w:lang w:val="en-GB"/>
              </w:rPr>
              <w:t>Skeletal Survey + Bone Scan:  non- contributory.</w:t>
            </w:r>
          </w:p>
          <w:p w:rsidR="006C3FC0" w:rsidRDefault="006C3FC0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>He was not on any medications or over the counter drugs apart from NSAID and paracetamol.</w:t>
            </w:r>
          </w:p>
          <w:p w:rsidR="00CA0962" w:rsidRDefault="00CA0962" w:rsidP="00B64FC9">
            <w:pPr>
              <w:pStyle w:val="Normal0"/>
              <w:rPr>
                <w:lang w:val="en-GB"/>
              </w:rPr>
            </w:pPr>
          </w:p>
          <w:p w:rsidR="006C3FC0" w:rsidRPr="00CA0962" w:rsidRDefault="006C3FC0" w:rsidP="00B64FC9">
            <w:pPr>
              <w:pStyle w:val="Normal0"/>
              <w:rPr>
                <w:b/>
                <w:lang w:val="en-GB"/>
              </w:rPr>
            </w:pPr>
            <w:r w:rsidRPr="00CA0962">
              <w:rPr>
                <w:b/>
                <w:lang w:val="en-GB"/>
              </w:rPr>
              <w:t>No family history of notes.</w:t>
            </w:r>
          </w:p>
          <w:p w:rsidR="00B64FC9" w:rsidRDefault="006C3FC0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 xml:space="preserve">In October </w:t>
            </w:r>
            <w:r w:rsidR="00B64FC9" w:rsidRPr="00B64FC9">
              <w:rPr>
                <w:lang w:val="en-GB"/>
              </w:rPr>
              <w:t>2016</w:t>
            </w:r>
            <w:r>
              <w:rPr>
                <w:lang w:val="en-GB"/>
              </w:rPr>
              <w:t xml:space="preserve"> he had</w:t>
            </w:r>
            <w:r w:rsidR="00B64FC9" w:rsidRPr="00B64FC9">
              <w:rPr>
                <w:lang w:val="en-GB"/>
              </w:rPr>
              <w:t xml:space="preserve"> PET CT - minor </w:t>
            </w:r>
            <w:proofErr w:type="spellStart"/>
            <w:r w:rsidR="00B64FC9" w:rsidRPr="00B64FC9">
              <w:rPr>
                <w:lang w:val="en-GB"/>
              </w:rPr>
              <w:t>mediastinal</w:t>
            </w:r>
            <w:proofErr w:type="spellEnd"/>
            <w:r w:rsidR="00B64FC9" w:rsidRPr="00B64FC9">
              <w:rPr>
                <w:lang w:val="en-GB"/>
              </w:rPr>
              <w:t xml:space="preserve"> </w:t>
            </w:r>
            <w:proofErr w:type="spellStart"/>
            <w:r w:rsidR="00B64FC9" w:rsidRPr="00B64FC9">
              <w:rPr>
                <w:lang w:val="en-GB"/>
              </w:rPr>
              <w:t>adenopathy</w:t>
            </w:r>
            <w:proofErr w:type="spellEnd"/>
            <w:r w:rsidR="00B64FC9" w:rsidRPr="00B64FC9">
              <w:rPr>
                <w:lang w:val="en-GB"/>
              </w:rPr>
              <w:t>, and highly avid spleen.</w:t>
            </w:r>
          </w:p>
          <w:p w:rsidR="006C3FC0" w:rsidRDefault="006C3FC0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>He was then reviewed by respiratory to obtain biopsy by EBUS, which was non diagnostic.</w:t>
            </w:r>
          </w:p>
          <w:p w:rsidR="006C3FC0" w:rsidRDefault="006C3FC0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>He was also reviewed in endocrine and Cancer of Unknown primary clinics.</w:t>
            </w:r>
          </w:p>
          <w:p w:rsidR="006C3FC0" w:rsidRDefault="00CA0962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>Meanwhile</w:t>
            </w:r>
            <w:r w:rsidR="006C3FC0">
              <w:rPr>
                <w:lang w:val="en-GB"/>
              </w:rPr>
              <w:t xml:space="preserve"> he was treated with intermittent </w:t>
            </w:r>
            <w:proofErr w:type="spellStart"/>
            <w:r w:rsidR="006C3FC0">
              <w:rPr>
                <w:lang w:val="en-GB"/>
              </w:rPr>
              <w:t>Zolindronic</w:t>
            </w:r>
            <w:proofErr w:type="spellEnd"/>
            <w:r w:rsidR="006C3FC0">
              <w:rPr>
                <w:lang w:val="en-GB"/>
              </w:rPr>
              <w:t xml:space="preserve"> acid and fluid.</w:t>
            </w:r>
          </w:p>
          <w:p w:rsidR="006C3FC0" w:rsidRDefault="006C3FC0" w:rsidP="00B64FC9">
            <w:pPr>
              <w:pStyle w:val="Normal0"/>
              <w:rPr>
                <w:lang w:val="en-GB"/>
              </w:rPr>
            </w:pPr>
          </w:p>
          <w:p w:rsidR="00571B7C" w:rsidRPr="00577927" w:rsidRDefault="00B64FC9" w:rsidP="00577927">
            <w:pPr>
              <w:pStyle w:val="Normal0"/>
              <w:rPr>
                <w:lang w:val="en-GB"/>
              </w:rPr>
            </w:pPr>
            <w:r w:rsidRPr="00B64FC9">
              <w:rPr>
                <w:lang w:val="en-GB"/>
              </w:rPr>
              <w:t>.</w:t>
            </w:r>
          </w:p>
        </w:tc>
      </w:tr>
      <w:tr w:rsidR="00F8721E" w:rsidTr="00F8721E">
        <w:tc>
          <w:tcPr>
            <w:tcW w:w="9242" w:type="dxa"/>
          </w:tcPr>
          <w:p w:rsidR="00F8721E" w:rsidRP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t>Investigations liquids:</w:t>
            </w:r>
          </w:p>
          <w:p w:rsidR="00B64FC9" w:rsidRDefault="00B64FC9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 xml:space="preserve">ALP 184, corrected calcium 2.69, sodium 134, potassium 4.6, urea 7.9, </w:t>
            </w:r>
            <w:proofErr w:type="spellStart"/>
            <w:r>
              <w:rPr>
                <w:lang w:val="en-GB"/>
              </w:rPr>
              <w:t>creatinine</w:t>
            </w:r>
            <w:proofErr w:type="spellEnd"/>
            <w:r>
              <w:rPr>
                <w:lang w:val="en-GB"/>
              </w:rPr>
              <w:t xml:space="preserve"> 116, </w:t>
            </w:r>
            <w:proofErr w:type="spellStart"/>
            <w:r>
              <w:rPr>
                <w:lang w:val="en-GB"/>
              </w:rPr>
              <w:t>Hb</w:t>
            </w:r>
            <w:proofErr w:type="spellEnd"/>
            <w:r>
              <w:rPr>
                <w:lang w:val="en-GB"/>
              </w:rPr>
              <w:t xml:space="preserve"> 92, WCC 6.6, platelets 275, neutrophils 4.53, LFT normal.</w:t>
            </w:r>
          </w:p>
          <w:p w:rsidR="00B64FC9" w:rsidRDefault="00B64FC9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 xml:space="preserve">Serum PTH 0.56 (low), serum protein electrophoresis normal, serum free light chain ratio normal, Beta 2 </w:t>
            </w:r>
            <w:proofErr w:type="spellStart"/>
            <w:r>
              <w:rPr>
                <w:lang w:val="en-GB"/>
              </w:rPr>
              <w:t>microglobulin</w:t>
            </w:r>
            <w:proofErr w:type="spellEnd"/>
            <w:r>
              <w:rPr>
                <w:lang w:val="en-GB"/>
              </w:rPr>
              <w:t xml:space="preserve"> normal.   </w:t>
            </w:r>
            <w:proofErr w:type="spellStart"/>
            <w:r>
              <w:rPr>
                <w:lang w:val="en-GB"/>
              </w:rPr>
              <w:t>Bence</w:t>
            </w:r>
            <w:proofErr w:type="spellEnd"/>
            <w:r>
              <w:rPr>
                <w:lang w:val="en-GB"/>
              </w:rPr>
              <w:t xml:space="preserve"> Jones protein negative.   Vitamin B12, </w:t>
            </w:r>
            <w:proofErr w:type="spellStart"/>
            <w:r>
              <w:rPr>
                <w:lang w:val="en-GB"/>
              </w:rPr>
              <w:t>folate</w:t>
            </w:r>
            <w:proofErr w:type="spellEnd"/>
            <w:r>
              <w:rPr>
                <w:lang w:val="en-GB"/>
              </w:rPr>
              <w:t xml:space="preserve">, ferritin negative.   </w:t>
            </w:r>
            <w:proofErr w:type="spellStart"/>
            <w:r>
              <w:rPr>
                <w:lang w:val="en-GB"/>
              </w:rPr>
              <w:t>Carcinoembryonic</w:t>
            </w:r>
            <w:proofErr w:type="spellEnd"/>
            <w:r>
              <w:rPr>
                <w:lang w:val="en-GB"/>
              </w:rPr>
              <w:t xml:space="preserve"> antigen negative.</w:t>
            </w:r>
          </w:p>
          <w:p w:rsidR="00B64FC9" w:rsidRDefault="00B64FC9" w:rsidP="00B64FC9">
            <w:pPr>
              <w:pStyle w:val="Normal0"/>
              <w:rPr>
                <w:lang w:val="en-GB"/>
              </w:rPr>
            </w:pPr>
            <w:r>
              <w:rPr>
                <w:lang w:val="en-GB"/>
              </w:rPr>
              <w:t>Serum ACE low on two separate occasions (28th September and 4</w:t>
            </w:r>
            <w:proofErr w:type="spellStart"/>
            <w:r>
              <w:rPr>
                <w:position w:val="6"/>
                <w:sz w:val="16"/>
                <w:szCs w:val="16"/>
                <w:lang w:val="en-GB"/>
              </w:rPr>
              <w:t>th</w:t>
            </w:r>
            <w:proofErr w:type="spellEnd"/>
            <w:r>
              <w:rPr>
                <w:lang w:val="en-GB"/>
              </w:rPr>
              <w:t xml:space="preserve"> October 2016)</w:t>
            </w:r>
          </w:p>
          <w:p w:rsidR="00F8721E" w:rsidRP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P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t>Histology slides:</w:t>
            </w:r>
            <w:r w:rsidR="006C3FC0">
              <w:rPr>
                <w:rFonts w:ascii="Tahoma" w:hAnsi="Tahoma" w:cs="Tahoma"/>
                <w:sz w:val="24"/>
                <w:szCs w:val="24"/>
              </w:rPr>
              <w:t xml:space="preserve"> not added </w:t>
            </w:r>
          </w:p>
          <w:p w:rsidR="00CA0962" w:rsidRDefault="00CA096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CA0962" w:rsidRPr="00F8721E" w:rsidRDefault="00CA0962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P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Pr="00F8721E" w:rsidRDefault="00F8721E" w:rsidP="00EF2C0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t>Scans:</w:t>
            </w:r>
          </w:p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Default="006C3FC0">
            <w:pPr>
              <w:rPr>
                <w:rFonts w:ascii="Tahoma" w:hAnsi="Tahoma" w:cs="Tahoma"/>
                <w:sz w:val="24"/>
                <w:szCs w:val="24"/>
              </w:rPr>
            </w:pPr>
            <w:r>
              <w:object w:dxaOrig="3645" w:dyaOrig="69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2.25pt;height:347.25pt" o:ole="">
                  <v:imagedata r:id="rId6" o:title=""/>
                </v:shape>
                <o:OLEObject Type="Embed" ProgID="PBrush" ShapeID="_x0000_i1025" DrawAspect="Content" ObjectID="_1543755434" r:id="rId7"/>
              </w:object>
            </w:r>
            <w:r w:rsidR="00E41309">
              <w:t xml:space="preserve"> </w:t>
            </w:r>
            <w:r w:rsidR="00E41309">
              <w:object w:dxaOrig="4440" w:dyaOrig="5250">
                <v:shape id="_x0000_i1026" type="#_x0000_t75" style="width:222pt;height:262.5pt" o:ole="">
                  <v:imagedata r:id="rId8" o:title=""/>
                </v:shape>
                <o:OLEObject Type="Embed" ProgID="PBrush" ShapeID="_x0000_i1026" DrawAspect="Content" ObjectID="_1543755435" r:id="rId9"/>
              </w:object>
            </w:r>
          </w:p>
          <w:p w:rsidR="00AC798C" w:rsidRDefault="00AC798C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Pr="00F8721E" w:rsidRDefault="00E4130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PET Avid Spleen                           MRI Abnormal marrow signal</w:t>
            </w:r>
          </w:p>
          <w:p w:rsidR="00F8721E" w:rsidRP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P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lastRenderedPageBreak/>
              <w:t>Differential diagnosis  suggested:</w:t>
            </w:r>
          </w:p>
          <w:p w:rsidR="00B64FC9" w:rsidRDefault="00B64FC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Default="00B64F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Hypercalcemia secondary to</w:t>
            </w:r>
          </w:p>
          <w:p w:rsidR="00B64FC9" w:rsidRDefault="00B64FC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B64FC9" w:rsidRDefault="00B64F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Myeloma</w:t>
            </w:r>
          </w:p>
          <w:p w:rsidR="00B64FC9" w:rsidRDefault="00B64F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Lymphoma</w:t>
            </w:r>
          </w:p>
          <w:p w:rsidR="00B64FC9" w:rsidRDefault="00B64F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Other primaries</w:t>
            </w:r>
          </w:p>
          <w:p w:rsidR="00B64FC9" w:rsidRDefault="00B64F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Metastatic cancer of Unknown primaries (CUP)</w:t>
            </w:r>
          </w:p>
          <w:p w:rsidR="00B64FC9" w:rsidRDefault="00B64FC9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P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t>Clinical diagnosis:</w:t>
            </w:r>
          </w:p>
          <w:p w:rsidR="00F8721E" w:rsidRDefault="00B64FC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Hypercalcemia secondary to Lymphoma</w:t>
            </w:r>
          </w:p>
          <w:p w:rsidR="00F8721E" w:rsidRPr="00F8721E" w:rsidRDefault="00F8721E" w:rsidP="00B40E2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577927" w:rsidTr="00F8721E">
        <w:tc>
          <w:tcPr>
            <w:tcW w:w="9242" w:type="dxa"/>
          </w:tcPr>
          <w:p w:rsidR="00577927" w:rsidRDefault="00577927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Further investigations:</w:t>
            </w:r>
          </w:p>
          <w:p w:rsidR="00577927" w:rsidRDefault="00577927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577927" w:rsidRPr="00577927" w:rsidRDefault="00577927" w:rsidP="00577927">
            <w:pPr>
              <w:pStyle w:val="Normal0"/>
              <w:rPr>
                <w:b/>
                <w:caps/>
                <w:lang w:val="en-GB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b/>
                <w:caps/>
                <w:lang w:val="en-GB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He was then referred to secondary centre for splenic biopsy.</w:t>
            </w:r>
          </w:p>
          <w:p w:rsidR="00577927" w:rsidRPr="00577927" w:rsidRDefault="00577927" w:rsidP="00577927">
            <w:pPr>
              <w:pStyle w:val="Normal0"/>
              <w:rPr>
                <w:b/>
                <w:caps/>
                <w:lang w:val="en-GB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b/>
                <w:caps/>
                <w:lang w:val="en-GB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Revealed non-caseating granulomatous lesions highly likely to be Sarcoidosis.</w:t>
            </w:r>
          </w:p>
          <w:p w:rsidR="00577927" w:rsidRPr="00577927" w:rsidRDefault="00577927" w:rsidP="00577927">
            <w:pPr>
              <w:rPr>
                <w:rFonts w:ascii="Tahoma" w:hAnsi="Tahoma" w:cs="Tahoma"/>
                <w:b/>
                <w:caps/>
                <w:sz w:val="24"/>
                <w:szCs w:val="2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b/>
                <w:caps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 xml:space="preserve"> ZN stain negative</w:t>
            </w:r>
          </w:p>
          <w:p w:rsidR="00577927" w:rsidRPr="00F8721E" w:rsidRDefault="0057792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lastRenderedPageBreak/>
              <w:t>Final diagnosis:</w:t>
            </w:r>
          </w:p>
          <w:p w:rsidR="00B64FC9" w:rsidRPr="00577927" w:rsidRDefault="00B64FC9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Hypercalcemia secondary to Sarcoidosis with adenoptahy and bony involvement</w:t>
            </w:r>
          </w:p>
          <w:p w:rsidR="0045652D" w:rsidRPr="00577927" w:rsidRDefault="0045652D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F8721E" w:rsidRPr="00F8721E" w:rsidRDefault="00F8721E" w:rsidP="00B40E2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t>Discussions:</w:t>
            </w:r>
          </w:p>
          <w:p w:rsidR="00F8721E" w:rsidRDefault="004565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This is a very challenging case of Hypercalcemia. Required multi specialties in put until the final diagnosis made.</w:t>
            </w:r>
          </w:p>
          <w:p w:rsidR="0045652D" w:rsidRDefault="004565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Hypercalemia is not uncommon in haematological and non-haematological malignancies</w:t>
            </w:r>
          </w:p>
          <w:p w:rsidR="0045652D" w:rsidRDefault="004565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Usually clinical history and primary  investigations are conclusive</w:t>
            </w:r>
          </w:p>
          <w:p w:rsidR="0045652D" w:rsidRDefault="0045652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Hypercalcemia associated with neuroendocrine tumours and ectopic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paraneoplastic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manifestations required multi-disciplinary input occasionally.</w:t>
            </w:r>
          </w:p>
          <w:p w:rsidR="0007781A" w:rsidRDefault="0007781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7781A" w:rsidRDefault="0007781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 our case low PTH and high Calcium raised the possibilities of ectopic PTHRP secretion and this has been excluded by our endocrine team</w:t>
            </w:r>
          </w:p>
          <w:p w:rsidR="0007781A" w:rsidRDefault="0007781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7781A" w:rsidRDefault="0007781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Further reading as below paper</w:t>
            </w:r>
          </w:p>
          <w:p w:rsidR="0007781A" w:rsidRDefault="0007781A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07781A" w:rsidRPr="0007781A" w:rsidRDefault="0007781A" w:rsidP="0007781A">
            <w:pPr>
              <w:shd w:val="clear" w:color="auto" w:fill="FFFFFF"/>
              <w:outlineLvl w:val="1"/>
              <w:rPr>
                <w:rFonts w:ascii="Georgia" w:eastAsia="Times New Roman" w:hAnsi="Georgia" w:cs="Arial"/>
                <w:b/>
                <w:bCs/>
                <w:color w:val="403838"/>
                <w:kern w:val="36"/>
                <w:sz w:val="34"/>
                <w:szCs w:val="34"/>
                <w:lang w:val="en"/>
              </w:rPr>
            </w:pPr>
            <w:r w:rsidRPr="0007781A">
              <w:rPr>
                <w:rFonts w:ascii="Georgia" w:eastAsia="Times New Roman" w:hAnsi="Georgia" w:cs="Arial"/>
                <w:b/>
                <w:bCs/>
                <w:color w:val="403838"/>
                <w:kern w:val="36"/>
                <w:sz w:val="34"/>
                <w:szCs w:val="34"/>
                <w:lang w:val="en"/>
              </w:rPr>
              <w:t>PTH-Related Peptide (</w:t>
            </w:r>
            <w:proofErr w:type="spellStart"/>
            <w:r w:rsidRPr="0007781A">
              <w:rPr>
                <w:rFonts w:ascii="Georgia" w:eastAsia="Times New Roman" w:hAnsi="Georgia" w:cs="Arial"/>
                <w:b/>
                <w:bCs/>
                <w:color w:val="403838"/>
                <w:kern w:val="36"/>
                <w:sz w:val="34"/>
                <w:szCs w:val="34"/>
                <w:lang w:val="en"/>
              </w:rPr>
              <w:t>PTHrP</w:t>
            </w:r>
            <w:proofErr w:type="spellEnd"/>
            <w:r w:rsidRPr="0007781A">
              <w:rPr>
                <w:rFonts w:ascii="Georgia" w:eastAsia="Times New Roman" w:hAnsi="Georgia" w:cs="Arial"/>
                <w:b/>
                <w:bCs/>
                <w:color w:val="403838"/>
                <w:kern w:val="36"/>
                <w:sz w:val="34"/>
                <w:szCs w:val="34"/>
                <w:lang w:val="en"/>
              </w:rPr>
              <w:t>) in Hypercalcemia</w:t>
            </w:r>
          </w:p>
          <w:p w:rsidR="0007781A" w:rsidRPr="0007781A" w:rsidRDefault="00577927" w:rsidP="0007781A">
            <w:pPr>
              <w:numPr>
                <w:ilvl w:val="0"/>
                <w:numId w:val="1"/>
              </w:numPr>
              <w:shd w:val="clear" w:color="auto" w:fill="FFFFFF"/>
              <w:ind w:left="612"/>
              <w:rPr>
                <w:rFonts w:ascii="Arial" w:eastAsia="Times New Roman" w:hAnsi="Arial" w:cs="Arial"/>
                <w:b/>
                <w:bCs/>
                <w:color w:val="403838"/>
                <w:sz w:val="19"/>
                <w:szCs w:val="19"/>
                <w:lang w:val="en"/>
              </w:rPr>
            </w:pPr>
            <w:hyperlink r:id="rId10" w:history="1">
              <w:r w:rsidR="0007781A" w:rsidRPr="0007781A">
                <w:rPr>
                  <w:rFonts w:ascii="Arial" w:eastAsia="Times New Roman" w:hAnsi="Arial" w:cs="Arial"/>
                  <w:b/>
                  <w:bCs/>
                  <w:color w:val="333333"/>
                  <w:sz w:val="19"/>
                  <w:szCs w:val="19"/>
                  <w:lang w:val="en"/>
                </w:rPr>
                <w:t>Gregory R. Mundy</w:t>
              </w:r>
            </w:hyperlink>
            <w:r w:rsidR="0007781A" w:rsidRPr="0007781A">
              <w:rPr>
                <w:rFonts w:ascii="Arial" w:eastAsia="Times New Roman" w:hAnsi="Arial" w:cs="Arial"/>
                <w:b/>
                <w:bCs/>
                <w:color w:val="403838"/>
                <w:sz w:val="19"/>
                <w:szCs w:val="19"/>
                <w:lang w:val="en"/>
              </w:rPr>
              <w:t xml:space="preserve"> and </w:t>
            </w:r>
          </w:p>
          <w:p w:rsidR="0007781A" w:rsidRPr="0007781A" w:rsidRDefault="00577927" w:rsidP="0007781A">
            <w:pPr>
              <w:numPr>
                <w:ilvl w:val="0"/>
                <w:numId w:val="1"/>
              </w:numPr>
              <w:shd w:val="clear" w:color="auto" w:fill="FFFFFF"/>
              <w:ind w:left="612"/>
              <w:rPr>
                <w:rFonts w:ascii="Arial" w:eastAsia="Times New Roman" w:hAnsi="Arial" w:cs="Arial"/>
                <w:b/>
                <w:bCs/>
                <w:color w:val="403838"/>
                <w:sz w:val="19"/>
                <w:szCs w:val="19"/>
                <w:lang w:val="en"/>
              </w:rPr>
            </w:pPr>
            <w:hyperlink r:id="rId11" w:history="1">
              <w:r w:rsidR="0007781A" w:rsidRPr="0007781A">
                <w:rPr>
                  <w:rFonts w:ascii="Arial" w:eastAsia="Times New Roman" w:hAnsi="Arial" w:cs="Arial"/>
                  <w:b/>
                  <w:bCs/>
                  <w:color w:val="333333"/>
                  <w:sz w:val="19"/>
                  <w:szCs w:val="19"/>
                  <w:lang w:val="en"/>
                </w:rPr>
                <w:t>James R. Edwards</w:t>
              </w:r>
            </w:hyperlink>
          </w:p>
          <w:p w:rsidR="0007781A" w:rsidRPr="0007781A" w:rsidRDefault="00577927" w:rsidP="0007781A">
            <w:pPr>
              <w:shd w:val="clear" w:color="auto" w:fill="FFFFFF"/>
              <w:spacing w:before="225" w:after="225"/>
              <w:rPr>
                <w:rFonts w:ascii="Arial" w:eastAsia="Times New Roman" w:hAnsi="Arial" w:cs="Arial"/>
                <w:color w:val="403838"/>
                <w:sz w:val="19"/>
                <w:szCs w:val="19"/>
                <w:lang w:val="en"/>
              </w:rPr>
            </w:pPr>
            <w:hyperlink r:id="rId12" w:history="1">
              <w:r w:rsidR="0007781A" w:rsidRPr="0007781A">
                <w:rPr>
                  <w:rFonts w:ascii="Arial" w:eastAsia="Times New Roman" w:hAnsi="Arial" w:cs="Arial"/>
                  <w:color w:val="0000FF"/>
                  <w:sz w:val="19"/>
                  <w:szCs w:val="19"/>
                  <w:u w:val="single"/>
                  <w:lang w:val="en"/>
                </w:rPr>
                <w:t>+</w:t>
              </w:r>
            </w:hyperlink>
            <w:r w:rsidR="0007781A" w:rsidRPr="0007781A">
              <w:rPr>
                <w:rFonts w:ascii="Arial" w:eastAsia="Times New Roman" w:hAnsi="Arial" w:cs="Arial"/>
                <w:color w:val="403838"/>
                <w:sz w:val="19"/>
                <w:szCs w:val="19"/>
                <w:lang w:val="en"/>
              </w:rPr>
              <w:t xml:space="preserve"> Author Affiliations</w:t>
            </w:r>
          </w:p>
          <w:p w:rsidR="0007781A" w:rsidRPr="0007781A" w:rsidRDefault="0007781A" w:rsidP="0007781A">
            <w:pPr>
              <w:numPr>
                <w:ilvl w:val="0"/>
                <w:numId w:val="2"/>
              </w:numPr>
              <w:shd w:val="clear" w:color="auto" w:fill="FFFFFF"/>
              <w:ind w:left="1332"/>
              <w:rPr>
                <w:rFonts w:ascii="Arial" w:eastAsia="Times New Roman" w:hAnsi="Arial" w:cs="Arial"/>
                <w:i/>
                <w:iCs/>
                <w:color w:val="403838"/>
                <w:sz w:val="19"/>
                <w:szCs w:val="19"/>
                <w:lang w:val="en"/>
              </w:rPr>
            </w:pPr>
            <w:bookmarkStart w:id="0" w:name="aff-1"/>
            <w:bookmarkEnd w:id="0"/>
            <w:r w:rsidRPr="0007781A">
              <w:rPr>
                <w:rFonts w:ascii="Arial" w:eastAsia="Times New Roman" w:hAnsi="Arial" w:cs="Arial"/>
                <w:i/>
                <w:iCs/>
                <w:color w:val="403838"/>
                <w:sz w:val="19"/>
                <w:szCs w:val="19"/>
                <w:lang w:val="en"/>
              </w:rPr>
              <w:t xml:space="preserve">Vanderbilt Center for Bone Biology, Division of Clinical Pharmacology, Department of Medicine, Vanderbilt University, Nashville, Tennessee </w:t>
            </w:r>
          </w:p>
          <w:p w:rsidR="0007781A" w:rsidRPr="0007781A" w:rsidRDefault="0007781A" w:rsidP="0007781A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ind w:left="612"/>
              <w:rPr>
                <w:rFonts w:ascii="Arial" w:eastAsia="Times New Roman" w:hAnsi="Arial" w:cs="Arial"/>
                <w:color w:val="403838"/>
                <w:sz w:val="19"/>
                <w:szCs w:val="19"/>
                <w:lang w:val="en"/>
              </w:rPr>
            </w:pPr>
            <w:r w:rsidRPr="0007781A">
              <w:rPr>
                <w:rFonts w:ascii="Arial" w:eastAsia="Times New Roman" w:hAnsi="Arial" w:cs="Arial"/>
                <w:b/>
                <w:bCs/>
                <w:color w:val="403838"/>
                <w:sz w:val="19"/>
                <w:szCs w:val="19"/>
                <w:lang w:val="en"/>
              </w:rPr>
              <w:t>Correspondence</w:t>
            </w:r>
            <w:proofErr w:type="gramStart"/>
            <w:r w:rsidRPr="0007781A">
              <w:rPr>
                <w:rFonts w:ascii="Arial" w:eastAsia="Times New Roman" w:hAnsi="Arial" w:cs="Arial"/>
                <w:b/>
                <w:bCs/>
                <w:color w:val="403838"/>
                <w:sz w:val="19"/>
                <w:szCs w:val="19"/>
                <w:lang w:val="en"/>
              </w:rPr>
              <w:t>:</w:t>
            </w:r>
            <w:proofErr w:type="gramEnd"/>
            <w:r w:rsidRPr="0007781A">
              <w:rPr>
                <w:rFonts w:ascii="Arial" w:eastAsia="Times New Roman" w:hAnsi="Arial" w:cs="Arial"/>
                <w:color w:val="403838"/>
                <w:sz w:val="19"/>
                <w:szCs w:val="19"/>
                <w:lang w:val="en"/>
              </w:rPr>
              <w:br/>
              <w:t xml:space="preserve">Dr. Gregory R Mundy, Vanderbilt Center for Bone Biology, 1235 Medical Research Building IV, Nashville, TN 37232-0575. Phone: 615-322-6110; Fax: 615-343-2611; E-mail: </w:t>
            </w:r>
            <w:hyperlink r:id="rId13" w:history="1">
              <w:r w:rsidRPr="0007781A">
                <w:rPr>
                  <w:rFonts w:ascii="Arial" w:eastAsia="Times New Roman" w:hAnsi="Arial" w:cs="Arial"/>
                  <w:color w:val="0000FF"/>
                  <w:sz w:val="19"/>
                  <w:szCs w:val="19"/>
                  <w:lang w:val="en"/>
                </w:rPr>
                <w:t>gregory.r.mundy@vanderbilt.edu</w:t>
              </w:r>
            </w:hyperlink>
          </w:p>
          <w:p w:rsidR="0007781A" w:rsidRPr="0007781A" w:rsidRDefault="0007781A" w:rsidP="0007781A">
            <w:pPr>
              <w:shd w:val="clear" w:color="auto" w:fill="FFFFFF"/>
              <w:spacing w:before="240" w:after="120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</w:rPr>
            </w:pPr>
            <w:r w:rsidRPr="0007781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</w:rPr>
              <w:t xml:space="preserve">[Hypercalcemia in </w:t>
            </w:r>
            <w:proofErr w:type="spellStart"/>
            <w:r w:rsidRPr="0007781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</w:rPr>
              <w:t>sarcoidosis</w:t>
            </w:r>
            <w:proofErr w:type="spellEnd"/>
            <w:r w:rsidRPr="0007781A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8"/>
                <w:szCs w:val="28"/>
              </w:rPr>
              <w:t>--case report, prevalence, pathophysiology and therapeutic options].</w:t>
            </w:r>
          </w:p>
          <w:p w:rsidR="0007781A" w:rsidRPr="0007781A" w:rsidRDefault="0007781A" w:rsidP="0007781A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07781A">
              <w:rPr>
                <w:rFonts w:ascii="Arial" w:eastAsia="Times New Roman" w:hAnsi="Arial" w:cs="Arial"/>
                <w:sz w:val="20"/>
                <w:szCs w:val="20"/>
              </w:rPr>
              <w:t>[Article in German]</w:t>
            </w:r>
          </w:p>
          <w:p w:rsidR="0007781A" w:rsidRPr="0007781A" w:rsidRDefault="00577927" w:rsidP="0007781A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hyperlink r:id="rId14" w:history="1">
              <w:r w:rsidR="0007781A" w:rsidRPr="0007781A">
                <w:rPr>
                  <w:rFonts w:ascii="Arial" w:eastAsia="Times New Roman" w:hAnsi="Arial" w:cs="Arial"/>
                  <w:color w:val="2F4A8B"/>
                  <w:sz w:val="20"/>
                  <w:szCs w:val="20"/>
                  <w:u w:val="single"/>
                </w:rPr>
                <w:t>Ackermann D</w:t>
              </w:r>
            </w:hyperlink>
            <w:r w:rsidR="0007781A" w:rsidRPr="0007781A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1</w:t>
            </w:r>
            <w:r w:rsidR="0007781A" w:rsidRPr="0007781A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:rsidR="0007781A" w:rsidRPr="0007781A" w:rsidRDefault="00577927" w:rsidP="0007781A">
            <w:pPr>
              <w:shd w:val="clear" w:color="auto" w:fill="FFFFFF"/>
              <w:spacing w:before="308" w:after="154"/>
              <w:outlineLvl w:val="2"/>
              <w:rPr>
                <w:rFonts w:ascii="Arial" w:eastAsia="Times New Roman" w:hAnsi="Arial" w:cs="Arial"/>
                <w:b/>
                <w:bCs/>
                <w:color w:val="724128"/>
              </w:rPr>
            </w:pPr>
            <w:hyperlink r:id="rId15" w:tooltip="Open/close author information list" w:history="1">
              <w:r w:rsidR="0007781A" w:rsidRPr="0007781A">
                <w:rPr>
                  <w:rFonts w:ascii="Arial" w:eastAsia="Times New Roman" w:hAnsi="Arial" w:cs="Arial"/>
                  <w:b/>
                  <w:bCs/>
                  <w:color w:val="2F4A8B"/>
                  <w:u w:val="single"/>
                </w:rPr>
                <w:t>Author information</w:t>
              </w:r>
            </w:hyperlink>
          </w:p>
          <w:p w:rsidR="0007781A" w:rsidRPr="0007781A" w:rsidRDefault="0007781A" w:rsidP="0007781A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7781A">
              <w:rPr>
                <w:rFonts w:ascii="Arial" w:eastAsia="Times New Roman" w:hAnsi="Arial" w:cs="Arial"/>
                <w:sz w:val="17"/>
                <w:szCs w:val="17"/>
                <w:vertAlign w:val="superscript"/>
              </w:rPr>
              <w:t>1</w:t>
            </w:r>
            <w:r w:rsidRPr="0007781A">
              <w:rPr>
                <w:rFonts w:ascii="Arial" w:eastAsia="Times New Roman" w:hAnsi="Arial" w:cs="Arial"/>
                <w:sz w:val="20"/>
                <w:szCs w:val="20"/>
              </w:rPr>
              <w:t xml:space="preserve">Klinik </w:t>
            </w:r>
            <w:proofErr w:type="spellStart"/>
            <w:r w:rsidRPr="0007781A">
              <w:rPr>
                <w:rFonts w:ascii="Arial" w:eastAsia="Times New Roman" w:hAnsi="Arial" w:cs="Arial"/>
                <w:sz w:val="20"/>
                <w:szCs w:val="20"/>
              </w:rPr>
              <w:t>für</w:t>
            </w:r>
            <w:proofErr w:type="spellEnd"/>
            <w:r w:rsidRPr="0007781A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07781A">
              <w:rPr>
                <w:rFonts w:ascii="Arial" w:eastAsia="Times New Roman" w:hAnsi="Arial" w:cs="Arial"/>
                <w:sz w:val="20"/>
                <w:szCs w:val="20"/>
              </w:rPr>
              <w:t>Nephrologie</w:t>
            </w:r>
            <w:proofErr w:type="spellEnd"/>
            <w:r w:rsidRPr="0007781A">
              <w:rPr>
                <w:rFonts w:ascii="Arial" w:eastAsia="Times New Roman" w:hAnsi="Arial" w:cs="Arial"/>
                <w:sz w:val="20"/>
                <w:szCs w:val="20"/>
              </w:rPr>
              <w:t xml:space="preserve"> und </w:t>
            </w:r>
            <w:proofErr w:type="spellStart"/>
            <w:r w:rsidRPr="0007781A">
              <w:rPr>
                <w:rFonts w:ascii="Arial" w:eastAsia="Times New Roman" w:hAnsi="Arial" w:cs="Arial"/>
                <w:sz w:val="20"/>
                <w:szCs w:val="20"/>
              </w:rPr>
              <w:t>Hypertonie</w:t>
            </w:r>
            <w:proofErr w:type="spellEnd"/>
            <w:r w:rsidRPr="0007781A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07781A">
              <w:rPr>
                <w:rFonts w:ascii="Arial" w:eastAsia="Times New Roman" w:hAnsi="Arial" w:cs="Arial"/>
                <w:sz w:val="20"/>
                <w:szCs w:val="20"/>
              </w:rPr>
              <w:t>Universitätsspital</w:t>
            </w:r>
            <w:proofErr w:type="spellEnd"/>
            <w:r w:rsidRPr="0007781A">
              <w:rPr>
                <w:rFonts w:ascii="Arial" w:eastAsia="Times New Roman" w:hAnsi="Arial" w:cs="Arial"/>
                <w:sz w:val="20"/>
                <w:szCs w:val="20"/>
              </w:rPr>
              <w:t xml:space="preserve"> Bern. Daniel.Ackermann@insel.ch</w:t>
            </w:r>
          </w:p>
          <w:p w:rsidR="0007781A" w:rsidRPr="0007781A" w:rsidRDefault="0007781A" w:rsidP="0007781A">
            <w:pPr>
              <w:shd w:val="clear" w:color="auto" w:fill="FFFFFF"/>
              <w:spacing w:before="308" w:after="154"/>
              <w:outlineLvl w:val="2"/>
              <w:rPr>
                <w:rFonts w:ascii="Arial" w:eastAsia="Times New Roman" w:hAnsi="Arial" w:cs="Arial"/>
                <w:b/>
                <w:bCs/>
                <w:color w:val="724128"/>
              </w:rPr>
            </w:pPr>
            <w:r w:rsidRPr="0007781A">
              <w:rPr>
                <w:rFonts w:ascii="Arial" w:eastAsia="Times New Roman" w:hAnsi="Arial" w:cs="Arial"/>
                <w:b/>
                <w:bCs/>
                <w:color w:val="724128"/>
              </w:rPr>
              <w:t>Abstract</w:t>
            </w:r>
          </w:p>
          <w:p w:rsidR="0007781A" w:rsidRPr="0007781A" w:rsidRDefault="0007781A" w:rsidP="0007781A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</w:rPr>
            </w:pPr>
            <w:r w:rsidRPr="0007781A">
              <w:rPr>
                <w:rFonts w:ascii="Arial" w:eastAsia="Times New Roman" w:hAnsi="Arial" w:cs="Arial"/>
              </w:rPr>
              <w:t xml:space="preserve">Hypercalcemia is a highly prevalent complication of </w:t>
            </w:r>
            <w:proofErr w:type="spellStart"/>
            <w:r w:rsidRPr="0007781A">
              <w:rPr>
                <w:rFonts w:ascii="Arial" w:eastAsia="Times New Roman" w:hAnsi="Arial" w:cs="Arial"/>
              </w:rPr>
              <w:t>sarcoidosis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. A medical history of a patient with </w:t>
            </w:r>
            <w:proofErr w:type="spellStart"/>
            <w:r w:rsidRPr="0007781A">
              <w:rPr>
                <w:rFonts w:ascii="Arial" w:eastAsia="Times New Roman" w:hAnsi="Arial" w:cs="Arial"/>
              </w:rPr>
              <w:t>sarcoidosis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is shown as case report. Depending on the population studied about 2-63% of </w:t>
            </w:r>
            <w:proofErr w:type="spellStart"/>
            <w:r w:rsidRPr="0007781A">
              <w:rPr>
                <w:rFonts w:ascii="Arial" w:eastAsia="Times New Roman" w:hAnsi="Arial" w:cs="Arial"/>
              </w:rPr>
              <w:t>sarcoidosis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patients show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. The major difference in the prevalence of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may be in part due to the undulating course of </w:t>
            </w:r>
            <w:proofErr w:type="spellStart"/>
            <w:r w:rsidRPr="0007781A">
              <w:rPr>
                <w:rFonts w:ascii="Arial" w:eastAsia="Times New Roman" w:hAnsi="Arial" w:cs="Arial"/>
              </w:rPr>
              <w:t>subacute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7781A">
              <w:rPr>
                <w:rFonts w:ascii="Arial" w:eastAsia="Times New Roman" w:hAnsi="Arial" w:cs="Arial"/>
              </w:rPr>
              <w:t>sarcoidosis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, so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may be missed when serum calcium is not frequently measured. </w:t>
            </w:r>
            <w:proofErr w:type="spellStart"/>
            <w:r w:rsidRPr="0007781A">
              <w:rPr>
                <w:rFonts w:ascii="Arial" w:eastAsia="Times New Roman" w:hAnsi="Arial" w:cs="Arial"/>
              </w:rPr>
              <w:lastRenderedPageBreak/>
              <w:t>Hypercalciuria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appears to be twice as prevalent then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and should be looked for in every </w:t>
            </w:r>
            <w:proofErr w:type="spellStart"/>
            <w:r w:rsidRPr="0007781A">
              <w:rPr>
                <w:rFonts w:ascii="Arial" w:eastAsia="Times New Roman" w:hAnsi="Arial" w:cs="Arial"/>
              </w:rPr>
              <w:t>sarcoidosis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patient. Hypercalcemia in </w:t>
            </w:r>
            <w:proofErr w:type="spellStart"/>
            <w:r w:rsidRPr="0007781A">
              <w:rPr>
                <w:rFonts w:ascii="Arial" w:eastAsia="Times New Roman" w:hAnsi="Arial" w:cs="Arial"/>
              </w:rPr>
              <w:t>sarcoidosis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is due to the uncontrolled synthesis of 1</w:t>
            </w:r>
            <w:proofErr w:type="gramStart"/>
            <w:r w:rsidRPr="0007781A">
              <w:rPr>
                <w:rFonts w:ascii="Arial" w:eastAsia="Times New Roman" w:hAnsi="Arial" w:cs="Arial"/>
              </w:rPr>
              <w:t>,25</w:t>
            </w:r>
            <w:proofErr w:type="gramEnd"/>
            <w:r w:rsidRPr="0007781A">
              <w:rPr>
                <w:rFonts w:ascii="Arial" w:eastAsia="Times New Roman" w:hAnsi="Arial" w:cs="Arial"/>
              </w:rPr>
              <w:t>-dihydroxyvitamin D3 by macrophages. 1</w:t>
            </w:r>
            <w:proofErr w:type="gramStart"/>
            <w:r w:rsidRPr="0007781A">
              <w:rPr>
                <w:rFonts w:ascii="Arial" w:eastAsia="Times New Roman" w:hAnsi="Arial" w:cs="Arial"/>
              </w:rPr>
              <w:t>,25</w:t>
            </w:r>
            <w:proofErr w:type="gramEnd"/>
            <w:r w:rsidRPr="0007781A">
              <w:rPr>
                <w:rFonts w:ascii="Arial" w:eastAsia="Times New Roman" w:hAnsi="Arial" w:cs="Arial"/>
              </w:rPr>
              <w:t xml:space="preserve">-dihydroxyvitamin D3 leads to an increased absorption of calcium in the intestine and to an increased </w:t>
            </w:r>
            <w:proofErr w:type="spellStart"/>
            <w:r w:rsidRPr="0007781A">
              <w:rPr>
                <w:rFonts w:ascii="Arial" w:eastAsia="Times New Roman" w:hAnsi="Arial" w:cs="Arial"/>
              </w:rPr>
              <w:t>resorption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of calcium in the bone. </w:t>
            </w:r>
            <w:proofErr w:type="spellStart"/>
            <w:r w:rsidRPr="0007781A">
              <w:rPr>
                <w:rFonts w:ascii="Arial" w:eastAsia="Times New Roman" w:hAnsi="Arial" w:cs="Arial"/>
              </w:rPr>
              <w:t>Immunoregulatory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properties have been ascribed to 1</w:t>
            </w:r>
            <w:proofErr w:type="gramStart"/>
            <w:r w:rsidRPr="0007781A">
              <w:rPr>
                <w:rFonts w:ascii="Arial" w:eastAsia="Times New Roman" w:hAnsi="Arial" w:cs="Arial"/>
              </w:rPr>
              <w:t>,25</w:t>
            </w:r>
            <w:proofErr w:type="gramEnd"/>
            <w:r w:rsidRPr="0007781A">
              <w:rPr>
                <w:rFonts w:ascii="Arial" w:eastAsia="Times New Roman" w:hAnsi="Arial" w:cs="Arial"/>
              </w:rPr>
              <w:t xml:space="preserve">-dihydroxyvitamin D3. It is an important inhibitor of interleukin-2 and of interferon-gamma-synthesis, two cytokines that are important in granuloma formation in </w:t>
            </w:r>
            <w:proofErr w:type="spellStart"/>
            <w:r w:rsidRPr="0007781A">
              <w:rPr>
                <w:rFonts w:ascii="Arial" w:eastAsia="Times New Roman" w:hAnsi="Arial" w:cs="Arial"/>
              </w:rPr>
              <w:t>sarcoidosis</w:t>
            </w:r>
            <w:proofErr w:type="spellEnd"/>
            <w:r w:rsidRPr="0007781A">
              <w:rPr>
                <w:rFonts w:ascii="Arial" w:eastAsia="Times New Roman" w:hAnsi="Arial" w:cs="Arial"/>
              </w:rPr>
              <w:t>. It is thought that 1</w:t>
            </w:r>
            <w:proofErr w:type="gramStart"/>
            <w:r w:rsidRPr="0007781A">
              <w:rPr>
                <w:rFonts w:ascii="Arial" w:eastAsia="Times New Roman" w:hAnsi="Arial" w:cs="Arial"/>
              </w:rPr>
              <w:t>,25</w:t>
            </w:r>
            <w:proofErr w:type="gramEnd"/>
            <w:r w:rsidRPr="0007781A">
              <w:rPr>
                <w:rFonts w:ascii="Arial" w:eastAsia="Times New Roman" w:hAnsi="Arial" w:cs="Arial"/>
              </w:rPr>
              <w:t xml:space="preserve">-dihydroxyvitamin D3 </w:t>
            </w:r>
            <w:proofErr w:type="spellStart"/>
            <w:r w:rsidRPr="0007781A">
              <w:rPr>
                <w:rFonts w:ascii="Arial" w:eastAsia="Times New Roman" w:hAnsi="Arial" w:cs="Arial"/>
              </w:rPr>
              <w:t>counterregulates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uncontrolled granuloma formation. Treatment of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depends on the serum level of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and its persistence. Generally </w:t>
            </w:r>
            <w:proofErr w:type="spellStart"/>
            <w:r w:rsidRPr="0007781A">
              <w:rPr>
                <w:rFonts w:ascii="Arial" w:eastAsia="Times New Roman" w:hAnsi="Arial" w:cs="Arial"/>
              </w:rPr>
              <w:t>sarcoidotic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patients should be advised to avoid sun exposition to reduce vitamin D3 synthesis in the skin, to omit fish oils that are rich of vitamin D and to produce more than two </w:t>
            </w:r>
            <w:proofErr w:type="spellStart"/>
            <w:r w:rsidRPr="0007781A">
              <w:rPr>
                <w:rFonts w:ascii="Arial" w:eastAsia="Times New Roman" w:hAnsi="Arial" w:cs="Arial"/>
              </w:rPr>
              <w:t>liters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urine a day by adapting fluid intake. Although severe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seems to be rare, </w:t>
            </w:r>
            <w:proofErr w:type="spellStart"/>
            <w:r w:rsidRPr="0007781A">
              <w:rPr>
                <w:rFonts w:ascii="Arial" w:eastAsia="Times New Roman" w:hAnsi="Arial" w:cs="Arial"/>
              </w:rPr>
              <w:t>glucocorticosteroid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treatment should be started if corrected total calcium level rises </w:t>
            </w:r>
            <w:proofErr w:type="gramStart"/>
            <w:r w:rsidRPr="0007781A">
              <w:rPr>
                <w:rFonts w:ascii="Arial" w:eastAsia="Times New Roman" w:hAnsi="Arial" w:cs="Arial"/>
              </w:rPr>
              <w:t xml:space="preserve">beyond 3 </w:t>
            </w:r>
            <w:proofErr w:type="spellStart"/>
            <w:r w:rsidRPr="0007781A">
              <w:rPr>
                <w:rFonts w:ascii="Arial" w:eastAsia="Times New Roman" w:hAnsi="Arial" w:cs="Arial"/>
              </w:rPr>
              <w:t>mmol</w:t>
            </w:r>
            <w:proofErr w:type="spellEnd"/>
            <w:r w:rsidRPr="0007781A">
              <w:rPr>
                <w:rFonts w:ascii="Arial" w:eastAsia="Times New Roman" w:hAnsi="Arial" w:cs="Arial"/>
              </w:rPr>
              <w:t>/l</w:t>
            </w:r>
            <w:proofErr w:type="gramEnd"/>
            <w:r w:rsidRPr="0007781A">
              <w:rPr>
                <w:rFonts w:ascii="Arial" w:eastAsia="Times New Roman" w:hAnsi="Arial" w:cs="Arial"/>
              </w:rPr>
              <w:t xml:space="preserve">. If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is symptomatic, treatment should be started even at lower levels. </w:t>
            </w:r>
            <w:proofErr w:type="spellStart"/>
            <w:r w:rsidRPr="0007781A">
              <w:rPr>
                <w:rFonts w:ascii="Arial" w:eastAsia="Times New Roman" w:hAnsi="Arial" w:cs="Arial"/>
              </w:rPr>
              <w:t>Glucocorticosteroids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act by inhibition of the overly 1alpha-hydroxylase activity of macrophages. Alternatively, treatment with </w:t>
            </w:r>
            <w:proofErr w:type="spellStart"/>
            <w:r w:rsidRPr="0007781A">
              <w:rPr>
                <w:rFonts w:ascii="Arial" w:eastAsia="Times New Roman" w:hAnsi="Arial" w:cs="Arial"/>
              </w:rPr>
              <w:t>chloroquine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or ketoconazole can be established. If isolated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hypercalciuria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without </w:t>
            </w:r>
            <w:proofErr w:type="spellStart"/>
            <w:r w:rsidRPr="0007781A">
              <w:rPr>
                <w:rFonts w:ascii="Arial" w:eastAsia="Times New Roman" w:hAnsi="Arial" w:cs="Arial"/>
              </w:rPr>
              <w:t>hypercalcemia</w:t>
            </w:r>
            <w:proofErr w:type="spellEnd"/>
            <w:r w:rsidRPr="0007781A">
              <w:rPr>
                <w:rFonts w:ascii="Arial" w:eastAsia="Times New Roman" w:hAnsi="Arial" w:cs="Arial"/>
              </w:rPr>
              <w:t xml:space="preserve"> is present with evidence for recurrent nephrolithiasis, patients can be treated with a thiazide diuretic</w:t>
            </w:r>
          </w:p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  <w:p w:rsidR="00F8721E" w:rsidRP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721E" w:rsidTr="00F8721E">
        <w:tc>
          <w:tcPr>
            <w:tcW w:w="9242" w:type="dxa"/>
          </w:tcPr>
          <w:p w:rsidR="00F8721E" w:rsidRDefault="00F8721E">
            <w:pPr>
              <w:rPr>
                <w:rFonts w:ascii="Tahoma" w:hAnsi="Tahoma" w:cs="Tahoma"/>
                <w:sz w:val="24"/>
                <w:szCs w:val="24"/>
              </w:rPr>
            </w:pPr>
            <w:r w:rsidRPr="00F8721E">
              <w:rPr>
                <w:rFonts w:ascii="Tahoma" w:hAnsi="Tahoma" w:cs="Tahoma"/>
                <w:sz w:val="24"/>
                <w:szCs w:val="24"/>
              </w:rPr>
              <w:lastRenderedPageBreak/>
              <w:t>Conclusions:</w:t>
            </w:r>
          </w:p>
          <w:p w:rsidR="00F8721E" w:rsidRDefault="0007781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Hypercalcemia is straight forward most of the time but rarely a challenge as In our case</w:t>
            </w:r>
          </w:p>
          <w:p w:rsidR="0007781A" w:rsidRDefault="0007781A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Retrospective case notes review revealed this patient had history of bilateral anterior uveitis few years back and intermittent dry cough for many years</w:t>
            </w:r>
          </w:p>
          <w:p w:rsidR="00F8721E" w:rsidRPr="00F8721E" w:rsidRDefault="00F8721E" w:rsidP="00EF2C07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721E" w:rsidTr="00F8721E">
        <w:tc>
          <w:tcPr>
            <w:tcW w:w="9242" w:type="dxa"/>
          </w:tcPr>
          <w:p w:rsidR="00EF2C07" w:rsidRPr="00577927" w:rsidRDefault="00F8721E" w:rsidP="00EF2C07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Learning points:</w:t>
            </w:r>
            <w:r w:rsidR="00AC798C"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</w:p>
          <w:p w:rsidR="0007781A" w:rsidRPr="00577927" w:rsidRDefault="0007781A" w:rsidP="00EF2C07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Review case notes for </w:t>
            </w:r>
            <w:proofErr w:type="spellStart"/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symtomptomatology</w:t>
            </w:r>
            <w:proofErr w:type="spellEnd"/>
          </w:p>
          <w:p w:rsidR="00CA0962" w:rsidRPr="00577927" w:rsidRDefault="00CA0962" w:rsidP="00EF2C07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Serum ACE is non-diagnostic</w:t>
            </w:r>
          </w:p>
          <w:p w:rsidR="0007781A" w:rsidRPr="00577927" w:rsidRDefault="0007781A" w:rsidP="00EF2C07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Ask a friend early</w:t>
            </w:r>
          </w:p>
          <w:p w:rsidR="0007781A" w:rsidRPr="00577927" w:rsidRDefault="0007781A" w:rsidP="00EF2C07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There is always someone on the other side waiting to help </w:t>
            </w:r>
            <w:r w:rsidR="00C10A0C"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for</w:t>
            </w:r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best outcome of our patients</w:t>
            </w:r>
            <w:r w:rsidR="00C10A0C"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</w:p>
          <w:p w:rsidR="00C10A0C" w:rsidRPr="00577927" w:rsidRDefault="00C10A0C" w:rsidP="00EF2C07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C10A0C" w:rsidRPr="00577927" w:rsidRDefault="00C10A0C" w:rsidP="00EF2C07">
            <w:pPr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577927">
              <w:rPr>
                <w:rFonts w:ascii="Tahoma" w:hAnsi="Tahoma" w:cs="Tahoma"/>
                <w:b/>
                <w:sz w:val="24"/>
                <w:szCs w:val="24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Please Do ask</w:t>
            </w:r>
            <w:bookmarkStart w:id="1" w:name="_GoBack"/>
            <w:bookmarkEnd w:id="1"/>
          </w:p>
          <w:p w:rsidR="00AC798C" w:rsidRPr="00F8721E" w:rsidRDefault="00AC798C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B7694C" w:rsidRDefault="00B7694C"/>
    <w:sectPr w:rsidR="00B7694C" w:rsidSect="00B76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420BA"/>
    <w:multiLevelType w:val="multilevel"/>
    <w:tmpl w:val="51B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239F9"/>
    <w:multiLevelType w:val="multilevel"/>
    <w:tmpl w:val="6C7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676B9C"/>
    <w:multiLevelType w:val="multilevel"/>
    <w:tmpl w:val="41826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0A652F"/>
    <w:multiLevelType w:val="multilevel"/>
    <w:tmpl w:val="2648E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1E"/>
    <w:rsid w:val="00032F55"/>
    <w:rsid w:val="0007781A"/>
    <w:rsid w:val="000F15CA"/>
    <w:rsid w:val="000F187A"/>
    <w:rsid w:val="003129C0"/>
    <w:rsid w:val="0045652D"/>
    <w:rsid w:val="00571B7C"/>
    <w:rsid w:val="00577927"/>
    <w:rsid w:val="00651886"/>
    <w:rsid w:val="006C3FC0"/>
    <w:rsid w:val="008F08E1"/>
    <w:rsid w:val="00AA02BB"/>
    <w:rsid w:val="00AA7CD3"/>
    <w:rsid w:val="00AB6AC4"/>
    <w:rsid w:val="00AC798C"/>
    <w:rsid w:val="00B04106"/>
    <w:rsid w:val="00B40E20"/>
    <w:rsid w:val="00B64FC9"/>
    <w:rsid w:val="00B7694C"/>
    <w:rsid w:val="00C10A0C"/>
    <w:rsid w:val="00C70F5D"/>
    <w:rsid w:val="00CA0962"/>
    <w:rsid w:val="00D34634"/>
    <w:rsid w:val="00E41309"/>
    <w:rsid w:val="00E560B3"/>
    <w:rsid w:val="00EC3784"/>
    <w:rsid w:val="00EF2C07"/>
    <w:rsid w:val="00F52EFB"/>
    <w:rsid w:val="00F8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81A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07781A"/>
    <w:pPr>
      <w:spacing w:before="308" w:after="154" w:line="240" w:lineRule="auto"/>
      <w:outlineLvl w:val="2"/>
    </w:pPr>
    <w:rPr>
      <w:rFonts w:ascii="Times New Roman" w:eastAsia="Times New Roman" w:hAnsi="Times New Roman" w:cs="Times New Roman"/>
      <w:b/>
      <w:bCs/>
      <w:color w:val="7241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B64F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07781A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07781A"/>
    <w:rPr>
      <w:rFonts w:ascii="Times New Roman" w:eastAsia="Times New Roman" w:hAnsi="Times New Roman" w:cs="Times New Roman"/>
      <w:b/>
      <w:bCs/>
      <w:color w:val="724128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7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ncbitoggler-master-text">
    <w:name w:val="ui-ncbitoggler-master-text"/>
    <w:basedOn w:val="DefaultParagraphFont"/>
    <w:rsid w:val="000778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7781A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07781A"/>
    <w:pPr>
      <w:spacing w:before="308" w:after="154" w:line="240" w:lineRule="auto"/>
      <w:outlineLvl w:val="2"/>
    </w:pPr>
    <w:rPr>
      <w:rFonts w:ascii="Times New Roman" w:eastAsia="Times New Roman" w:hAnsi="Times New Roman" w:cs="Times New Roman"/>
      <w:b/>
      <w:bCs/>
      <w:color w:val="7241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[Normal]"/>
    <w:rsid w:val="00B64F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character" w:customStyle="1" w:styleId="Heading1Char">
    <w:name w:val="Heading 1 Char"/>
    <w:basedOn w:val="DefaultParagraphFont"/>
    <w:link w:val="Heading1"/>
    <w:uiPriority w:val="9"/>
    <w:rsid w:val="0007781A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07781A"/>
    <w:rPr>
      <w:rFonts w:ascii="Times New Roman" w:eastAsia="Times New Roman" w:hAnsi="Times New Roman" w:cs="Times New Roman"/>
      <w:b/>
      <w:bCs/>
      <w:color w:val="724128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77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-ncbitoggler-master-text">
    <w:name w:val="ui-ncbitoggler-master-text"/>
    <w:basedOn w:val="DefaultParagraphFont"/>
    <w:rsid w:val="0007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131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9003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7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103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31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0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34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9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5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0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84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3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gregory.r.mundy@vanderbilt.ed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hyperlink" Target="http://jasn.asnjournals.org/content/19/4/672.ful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jasn.asnjournals.org/search?author1=James+R.+Edwards&amp;sortspec=date&amp;submit=Subm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cbi.nlm.nih.gov/pubmed/17685088" TargetMode="External"/><Relationship Id="rId10" Type="http://schemas.openxmlformats.org/officeDocument/2006/relationships/hyperlink" Target="http://jasn.asnjournals.org/search?author1=Gregory+R.+Mundy&amp;sortspec=date&amp;submit=Submi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hyperlink" Target="https://www.ncbi.nlm.nih.gov/pubmed/?term=Ackermann%20D%5BAuthor%5D&amp;cauthor=true&amp;cauthor_uid=17685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Southend University Hospital NHS Foundation Trust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Islam,Mohammed</cp:lastModifiedBy>
  <cp:revision>2</cp:revision>
  <dcterms:created xsi:type="dcterms:W3CDTF">2016-12-20T16:11:00Z</dcterms:created>
  <dcterms:modified xsi:type="dcterms:W3CDTF">2016-12-20T16:11:00Z</dcterms:modified>
</cp:coreProperties>
</file>